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 «Артха»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Директор: Варганов Михаил Александрович, действует на основании устава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Юридический адрес: 660075, Красноярский край, г.Красноярск, ул. Северо-Енисейская,  46а-153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Фактический адрес: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660048, Красноярский край, г. Красноярск, ул. 2-ая Брянская, 73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ИНН 2460239200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КПП 246001001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ОГРН 1122468036283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БИК 040407388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Восточно-Сибирский филиал ОАО АКБ «РОСБАНК» г.Красноярск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Адрес: 660049, г.Красноярск, пр. Мира, 7А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ИНН 7730060164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КПП 246602002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К\С 30101810000000000388 в ГРКЦ ГУ Банка России по Красноярскому краю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Р\С 40702810275330000270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